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C0E209" w14:textId="24BE5E03" w:rsidR="00ED20A1" w:rsidRPr="00A74E00" w:rsidRDefault="00ED20A1" w:rsidP="008D522D">
      <w:pPr>
        <w:rPr>
          <w:rFonts w:ascii="Arial" w:hAnsi="Arial" w:cs="Arial"/>
          <w:b/>
          <w:bCs/>
          <w:sz w:val="22"/>
          <w:szCs w:val="22"/>
        </w:rPr>
      </w:pPr>
      <w:r w:rsidRPr="00A74E00">
        <w:rPr>
          <w:rFonts w:ascii="Arial" w:hAnsi="Arial" w:cs="Arial"/>
          <w:b/>
          <w:bCs/>
          <w:sz w:val="22"/>
          <w:szCs w:val="22"/>
        </w:rPr>
        <w:t xml:space="preserve">Front Door </w:t>
      </w:r>
    </w:p>
    <w:p w14:paraId="3C3F8A6F" w14:textId="54C6769A" w:rsidR="008D522D" w:rsidRPr="00A74E00" w:rsidRDefault="008D522D" w:rsidP="008D522D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The "front door" should serve as a signposting service for residents, professionals, individuals, and community groups, directing them to relevant services and support at a neighbourhood level.</w:t>
      </w:r>
    </w:p>
    <w:p w14:paraId="6CAE8E33" w14:textId="77777777" w:rsidR="008D522D" w:rsidRPr="00A74E00" w:rsidRDefault="008D522D" w:rsidP="008D522D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It should have a physical presence – a recognisable face and location that people can visit.</w:t>
      </w:r>
    </w:p>
    <w:p w14:paraId="7F923E79" w14:textId="173ADA96" w:rsidR="008D522D" w:rsidRPr="00A74E00" w:rsidRDefault="008D522D" w:rsidP="008D522D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Staff at the front door must have strong local connections and work closely with local partners, they could identify suitable locations for co-location.</w:t>
      </w:r>
    </w:p>
    <w:p w14:paraId="2873A337" w14:textId="6E7D9D09" w:rsidR="008D522D" w:rsidRPr="00A74E00" w:rsidRDefault="008D522D" w:rsidP="008D522D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 xml:space="preserve">What Residents Might Expect from a front door service: </w:t>
      </w:r>
    </w:p>
    <w:p w14:paraId="7749472C" w14:textId="77777777" w:rsidR="008D522D" w:rsidRPr="00A74E00" w:rsidRDefault="008D522D" w:rsidP="008D522D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Access to services.</w:t>
      </w:r>
    </w:p>
    <w:p w14:paraId="513C6D27" w14:textId="77777777" w:rsidR="008D522D" w:rsidRPr="00A74E00" w:rsidRDefault="008D522D" w:rsidP="008D522D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Support with capacity building.</w:t>
      </w:r>
    </w:p>
    <w:p w14:paraId="163448E9" w14:textId="77777777" w:rsidR="008D522D" w:rsidRPr="00A74E00" w:rsidRDefault="008D522D" w:rsidP="008D522D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Clear guidance on where to go for help.</w:t>
      </w:r>
    </w:p>
    <w:p w14:paraId="6EDDE104" w14:textId="77777777" w:rsidR="008D522D" w:rsidRPr="00A74E00" w:rsidRDefault="008D522D" w:rsidP="008D522D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Consistency – a regular and reliable presence, not just a monthly drop-in.</w:t>
      </w:r>
    </w:p>
    <w:p w14:paraId="510E5681" w14:textId="77777777" w:rsidR="008D522D" w:rsidRPr="00A74E00" w:rsidRDefault="008D522D" w:rsidP="008D522D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Continuity – maintaining contact even if staff members leave.</w:t>
      </w:r>
    </w:p>
    <w:p w14:paraId="1EE7B32E" w14:textId="6163EA5C" w:rsidR="00A34265" w:rsidRPr="00A74E00" w:rsidRDefault="00A34265" w:rsidP="008D522D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Possibly different providers at one space</w:t>
      </w:r>
    </w:p>
    <w:p w14:paraId="22DEAADF" w14:textId="10CF29FA" w:rsidR="008D522D" w:rsidRPr="00A74E00" w:rsidRDefault="008D522D" w:rsidP="008D522D">
      <w:pPr>
        <w:rPr>
          <w:rFonts w:ascii="Arial" w:hAnsi="Arial" w:cs="Arial"/>
          <w:b/>
          <w:bCs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 xml:space="preserve">A shop front model is appealing a good idea for accessibility. </w:t>
      </w:r>
    </w:p>
    <w:p w14:paraId="534DF65E" w14:textId="77777777" w:rsidR="008D522D" w:rsidRPr="00A74E00" w:rsidRDefault="008D522D" w:rsidP="008D522D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The scope may be broader than current offerings, covering a wider range of services.</w:t>
      </w:r>
    </w:p>
    <w:p w14:paraId="70F14751" w14:textId="77777777" w:rsidR="008D522D" w:rsidRPr="00A74E00" w:rsidRDefault="008D522D" w:rsidP="008D522D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It is important not to overpromise and underdeliver.</w:t>
      </w:r>
    </w:p>
    <w:p w14:paraId="0DD36772" w14:textId="1CFE9B29" w:rsidR="008D522D" w:rsidRPr="00A74E00" w:rsidRDefault="008D522D" w:rsidP="008D522D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Services should be packaged appropriately: Some support delivered at scale (group level); some tailored to individual needs.</w:t>
      </w:r>
    </w:p>
    <w:p w14:paraId="27054B85" w14:textId="7B27EE9A" w:rsidR="008D522D" w:rsidRPr="00A74E00" w:rsidRDefault="008D522D" w:rsidP="008D522D">
      <w:pPr>
        <w:rPr>
          <w:rFonts w:ascii="Arial" w:hAnsi="Arial" w:cs="Arial"/>
          <w:b/>
          <w:bCs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Needs will differ by area, for example, some areas may have more demand for food banks.</w:t>
      </w:r>
    </w:p>
    <w:p w14:paraId="112EF9AD" w14:textId="3F838F58" w:rsidR="008D522D" w:rsidRPr="00A74E00" w:rsidRDefault="008D522D" w:rsidP="008D522D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 xml:space="preserve">Front door staff must help identify what the gaps are in the local community. </w:t>
      </w:r>
    </w:p>
    <w:p w14:paraId="522D097C" w14:textId="6C362318" w:rsidR="008D522D" w:rsidRPr="00A74E00" w:rsidRDefault="008D522D" w:rsidP="008D522D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Availability and consistency are key; for example, Age UK has a reliable phoneline.</w:t>
      </w:r>
    </w:p>
    <w:p w14:paraId="24D1B742" w14:textId="77777777" w:rsidR="008D522D" w:rsidRPr="00A74E00" w:rsidRDefault="008D522D" w:rsidP="008D522D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Residents should be able to access what they need without being passed between multiple services.</w:t>
      </w:r>
    </w:p>
    <w:p w14:paraId="1806FE30" w14:textId="5D31DDCB" w:rsidR="008D522D" w:rsidRPr="00A74E00" w:rsidRDefault="008D522D" w:rsidP="002D1574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 xml:space="preserve">Front door teams in </w:t>
      </w:r>
      <w:r w:rsidR="002D1574" w:rsidRPr="00A74E00">
        <w:rPr>
          <w:rFonts w:ascii="Arial" w:hAnsi="Arial" w:cs="Arial"/>
          <w:sz w:val="22"/>
          <w:szCs w:val="22"/>
        </w:rPr>
        <w:t>the West need to</w:t>
      </w:r>
      <w:r w:rsidRPr="00A74E00">
        <w:rPr>
          <w:rFonts w:ascii="Arial" w:hAnsi="Arial" w:cs="Arial"/>
          <w:sz w:val="22"/>
          <w:szCs w:val="22"/>
        </w:rPr>
        <w:t xml:space="preserve"> </w:t>
      </w:r>
      <w:r w:rsidR="002D1574" w:rsidRPr="00A74E00">
        <w:rPr>
          <w:rFonts w:ascii="Arial" w:hAnsi="Arial" w:cs="Arial"/>
          <w:sz w:val="22"/>
          <w:szCs w:val="22"/>
        </w:rPr>
        <w:t xml:space="preserve"> have a good relationship with front door people in North, South and East </w:t>
      </w:r>
      <w:r w:rsidRPr="00A74E00">
        <w:rPr>
          <w:rFonts w:ascii="Arial" w:hAnsi="Arial" w:cs="Arial"/>
          <w:sz w:val="22"/>
          <w:szCs w:val="22"/>
        </w:rPr>
        <w:t>collaborate and understand the borough as a whole.</w:t>
      </w:r>
    </w:p>
    <w:p w14:paraId="5F523028" w14:textId="2195F4EC" w:rsidR="008D522D" w:rsidRPr="00A74E00" w:rsidRDefault="002D1574" w:rsidP="002D1574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Residents</w:t>
      </w:r>
      <w:r w:rsidR="008D522D" w:rsidRPr="00A74E00">
        <w:rPr>
          <w:rFonts w:ascii="Arial" w:hAnsi="Arial" w:cs="Arial"/>
          <w:sz w:val="22"/>
          <w:szCs w:val="22"/>
        </w:rPr>
        <w:t xml:space="preserve"> do not </w:t>
      </w:r>
      <w:r w:rsidRPr="00A74E00">
        <w:rPr>
          <w:rFonts w:ascii="Arial" w:hAnsi="Arial" w:cs="Arial"/>
          <w:sz w:val="22"/>
          <w:szCs w:val="22"/>
        </w:rPr>
        <w:t xml:space="preserve">necessarily think about </w:t>
      </w:r>
      <w:r w:rsidR="008D522D" w:rsidRPr="00A74E00">
        <w:rPr>
          <w:rFonts w:ascii="Arial" w:hAnsi="Arial" w:cs="Arial"/>
          <w:sz w:val="22"/>
          <w:szCs w:val="22"/>
        </w:rPr>
        <w:t>ward boundaries and may access services across the borough.</w:t>
      </w:r>
    </w:p>
    <w:p w14:paraId="76F392D2" w14:textId="25167FE4" w:rsidR="002D1574" w:rsidRPr="00A74E00" w:rsidRDefault="002D1574" w:rsidP="002D1574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With partnerships, different r</w:t>
      </w:r>
      <w:r w:rsidR="008D522D" w:rsidRPr="00A74E00">
        <w:rPr>
          <w:rFonts w:ascii="Arial" w:hAnsi="Arial" w:cs="Arial"/>
          <w:sz w:val="22"/>
          <w:szCs w:val="22"/>
        </w:rPr>
        <w:t>eferral pathways must be considered</w:t>
      </w:r>
      <w:r w:rsidRPr="00A74E00">
        <w:rPr>
          <w:rFonts w:ascii="Arial" w:hAnsi="Arial" w:cs="Arial"/>
          <w:sz w:val="22"/>
          <w:szCs w:val="22"/>
        </w:rPr>
        <w:t xml:space="preserve"> </w:t>
      </w:r>
    </w:p>
    <w:p w14:paraId="70554AED" w14:textId="77777777" w:rsidR="002D1574" w:rsidRPr="00A74E00" w:rsidRDefault="002D1574" w:rsidP="002D1574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 xml:space="preserve">With referrals and evaluation, </w:t>
      </w:r>
      <w:r w:rsidR="008D522D" w:rsidRPr="00A74E00">
        <w:rPr>
          <w:rFonts w:ascii="Arial" w:hAnsi="Arial" w:cs="Arial"/>
          <w:sz w:val="22"/>
          <w:szCs w:val="22"/>
        </w:rPr>
        <w:t>can small organisations realistically provide the same level of data?</w:t>
      </w:r>
    </w:p>
    <w:p w14:paraId="13EB4171" w14:textId="6BEFF9F6" w:rsidR="008D522D" w:rsidRPr="00A74E00" w:rsidRDefault="008D522D" w:rsidP="002D1574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Measuring impact is essential – consider what questions are being answered.</w:t>
      </w:r>
    </w:p>
    <w:p w14:paraId="433A3CFB" w14:textId="77777777" w:rsidR="008D522D" w:rsidRPr="00A74E00" w:rsidRDefault="008D522D" w:rsidP="002D1574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People often present with multiple issues, some outside the voluntary sector (e.g. housing).</w:t>
      </w:r>
    </w:p>
    <w:p w14:paraId="2C42341D" w14:textId="77777777" w:rsidR="008D522D" w:rsidRPr="00A74E00" w:rsidRDefault="008D522D" w:rsidP="002D1574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The model should enhance existing services, not duplicate them (e.g. family hubs).</w:t>
      </w:r>
    </w:p>
    <w:p w14:paraId="032AF3F1" w14:textId="77777777" w:rsidR="00ED20A1" w:rsidRPr="00A74E00" w:rsidRDefault="00ED20A1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lastRenderedPageBreak/>
        <w:t>Consider using existing family hubs and community centres.</w:t>
      </w:r>
    </w:p>
    <w:p w14:paraId="21DD1FF9" w14:textId="77777777" w:rsidR="00ED20A1" w:rsidRPr="00A74E00" w:rsidRDefault="00ED20A1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The front door should follow the “no wrong door” principle – people should be able to access help wherever they feel comfortable.</w:t>
      </w:r>
    </w:p>
    <w:p w14:paraId="3B204882" w14:textId="77777777" w:rsidR="00ED20A1" w:rsidRPr="00A74E00" w:rsidRDefault="00ED20A1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Clear information about opening times and staff availability is crucial.</w:t>
      </w:r>
    </w:p>
    <w:p w14:paraId="608A84C8" w14:textId="77777777" w:rsidR="00ED20A1" w:rsidRPr="00A74E00" w:rsidRDefault="00ED20A1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 xml:space="preserve">First-time visitors may be hesitant – a welcoming environment with tea and coffee </w:t>
      </w:r>
      <w:proofErr w:type="gramStart"/>
      <w:r w:rsidRPr="00A74E00">
        <w:rPr>
          <w:rFonts w:ascii="Arial" w:hAnsi="Arial" w:cs="Arial"/>
          <w:sz w:val="22"/>
          <w:szCs w:val="22"/>
        </w:rPr>
        <w:t>helps, and</w:t>
      </w:r>
      <w:proofErr w:type="gramEnd"/>
      <w:r w:rsidRPr="00A74E00">
        <w:rPr>
          <w:rFonts w:ascii="Arial" w:hAnsi="Arial" w:cs="Arial"/>
          <w:sz w:val="22"/>
          <w:szCs w:val="22"/>
        </w:rPr>
        <w:t xml:space="preserve"> then leaflets and information can be available there. </w:t>
      </w:r>
    </w:p>
    <w:p w14:paraId="3D14D987" w14:textId="77777777" w:rsidR="00ED20A1" w:rsidRPr="00A74E00" w:rsidRDefault="00ED20A1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 xml:space="preserve">Some people may not know what help they </w:t>
      </w:r>
      <w:proofErr w:type="gramStart"/>
      <w:r w:rsidRPr="00A74E00">
        <w:rPr>
          <w:rFonts w:ascii="Arial" w:hAnsi="Arial" w:cs="Arial"/>
          <w:sz w:val="22"/>
          <w:szCs w:val="22"/>
        </w:rPr>
        <w:t>need,</w:t>
      </w:r>
      <w:proofErr w:type="gramEnd"/>
      <w:r w:rsidRPr="00A74E00">
        <w:rPr>
          <w:rFonts w:ascii="Arial" w:hAnsi="Arial" w:cs="Arial"/>
          <w:sz w:val="22"/>
          <w:szCs w:val="22"/>
        </w:rPr>
        <w:t xml:space="preserve"> longer-term service users can share their experiences.</w:t>
      </w:r>
    </w:p>
    <w:p w14:paraId="63E9E6F5" w14:textId="77777777" w:rsidR="00ED20A1" w:rsidRPr="00A74E00" w:rsidRDefault="00ED20A1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The “no wrong door” approach creates multiple entry points, which can conflict with the idea of only telling your story once.</w:t>
      </w:r>
    </w:p>
    <w:p w14:paraId="3488E7A2" w14:textId="39E46B9B" w:rsidR="00ED20A1" w:rsidRPr="00A74E00" w:rsidRDefault="00C604D7" w:rsidP="002D1574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Ensuring people know the offer is ‘f</w:t>
      </w:r>
      <w:r w:rsidR="00BF76E3" w:rsidRPr="00A74E00">
        <w:rPr>
          <w:rFonts w:ascii="Arial" w:hAnsi="Arial" w:cs="Arial"/>
          <w:sz w:val="22"/>
          <w:szCs w:val="22"/>
        </w:rPr>
        <w:t>or them’, leaflets, signage</w:t>
      </w:r>
    </w:p>
    <w:p w14:paraId="3C8E60B9" w14:textId="7D8F3078" w:rsidR="00BF76E3" w:rsidRPr="00A74E00" w:rsidRDefault="00BF76E3" w:rsidP="002D1574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Using informal ways to engage initially – e.g. coffee/drop-in</w:t>
      </w:r>
    </w:p>
    <w:p w14:paraId="02D60897" w14:textId="77777777" w:rsidR="008D522D" w:rsidRPr="00A74E00" w:rsidRDefault="00A74E00" w:rsidP="008D522D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pict w14:anchorId="720BFB77">
          <v:rect id="_x0000_i1025" style="width:8in;height:0" o:hrpct="0" o:hralign="center" o:hrstd="t" o:hrnoshade="t" o:hr="t" fillcolor="#424242" stroked="f"/>
        </w:pict>
      </w:r>
    </w:p>
    <w:p w14:paraId="68144A57" w14:textId="67671D48" w:rsidR="008D522D" w:rsidRPr="00A74E00" w:rsidRDefault="008D522D" w:rsidP="008D522D">
      <w:pPr>
        <w:rPr>
          <w:rFonts w:ascii="Arial" w:hAnsi="Arial" w:cs="Arial"/>
          <w:b/>
          <w:bCs/>
          <w:sz w:val="22"/>
          <w:szCs w:val="22"/>
        </w:rPr>
      </w:pPr>
      <w:r w:rsidRPr="00A74E00">
        <w:rPr>
          <w:rFonts w:ascii="Arial" w:hAnsi="Arial" w:cs="Arial"/>
          <w:b/>
          <w:bCs/>
          <w:sz w:val="22"/>
          <w:szCs w:val="22"/>
        </w:rPr>
        <w:t xml:space="preserve">Integrated Neighbourhood Teams (INTs) </w:t>
      </w:r>
      <w:r w:rsidR="002D1574" w:rsidRPr="00A74E00">
        <w:rPr>
          <w:rFonts w:ascii="Arial" w:hAnsi="Arial" w:cs="Arial"/>
          <w:b/>
          <w:bCs/>
          <w:sz w:val="22"/>
          <w:szCs w:val="22"/>
        </w:rPr>
        <w:t xml:space="preserve">- </w:t>
      </w:r>
      <w:r w:rsidRPr="00A74E00">
        <w:rPr>
          <w:rFonts w:ascii="Arial" w:hAnsi="Arial" w:cs="Arial"/>
          <w:b/>
          <w:bCs/>
          <w:sz w:val="22"/>
          <w:szCs w:val="22"/>
        </w:rPr>
        <w:t xml:space="preserve"> Key Workers</w:t>
      </w:r>
    </w:p>
    <w:p w14:paraId="1F68A067" w14:textId="1D9E38E0" w:rsidR="00ED20A1" w:rsidRPr="00A74E00" w:rsidRDefault="008D522D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Key workers can offer additional support</w:t>
      </w:r>
      <w:r w:rsidR="002D1574" w:rsidRPr="00A74E00">
        <w:rPr>
          <w:rFonts w:ascii="Arial" w:hAnsi="Arial" w:cs="Arial"/>
          <w:sz w:val="22"/>
          <w:szCs w:val="22"/>
        </w:rPr>
        <w:t xml:space="preserve"> (social prescribing plus)</w:t>
      </w:r>
      <w:r w:rsidRPr="00A74E00">
        <w:rPr>
          <w:rFonts w:ascii="Arial" w:hAnsi="Arial" w:cs="Arial"/>
          <w:sz w:val="22"/>
          <w:szCs w:val="22"/>
        </w:rPr>
        <w:t>, helping people navigate advice, benefits, and long-term assistance.</w:t>
      </w:r>
    </w:p>
    <w:p w14:paraId="5E2686C4" w14:textId="170CE796" w:rsidR="008D522D" w:rsidRPr="00A74E00" w:rsidRDefault="008D522D" w:rsidP="008D522D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The front door should help identify individuals who would benefit from more hands-on support.</w:t>
      </w:r>
    </w:p>
    <w:p w14:paraId="1489E85C" w14:textId="77777777" w:rsidR="008D522D" w:rsidRPr="00A74E00" w:rsidRDefault="008D522D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There is currently no natural health hub in the west – a building is being sought.</w:t>
      </w:r>
    </w:p>
    <w:p w14:paraId="09A3E053" w14:textId="77777777" w:rsidR="008D522D" w:rsidRPr="00A74E00" w:rsidRDefault="008D522D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Residents in the west feel services are concentrated elsewhere.</w:t>
      </w:r>
    </w:p>
    <w:p w14:paraId="6EE18DE4" w14:textId="77777777" w:rsidR="008D522D" w:rsidRPr="00A74E00" w:rsidRDefault="008D522D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Although there are fewer high-rise estates, there are still many families in need.</w:t>
      </w:r>
    </w:p>
    <w:p w14:paraId="5E0D5771" w14:textId="77777777" w:rsidR="008D522D" w:rsidRPr="00A74E00" w:rsidRDefault="008D522D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Many are at the preventative stage – support is needed before crisis hits.</w:t>
      </w:r>
    </w:p>
    <w:p w14:paraId="40E06E61" w14:textId="77777777" w:rsidR="008D522D" w:rsidRPr="00A74E00" w:rsidRDefault="008D522D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There is no central space currently available.</w:t>
      </w:r>
    </w:p>
    <w:p w14:paraId="70E91CCE" w14:textId="77777777" w:rsidR="00CF24EC" w:rsidRPr="00A74E00" w:rsidRDefault="00CF24EC" w:rsidP="00CF24EC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 xml:space="preserve">Sometimes people need a bit more 1 to 1 </w:t>
      </w:r>
      <w:proofErr w:type="gramStart"/>
      <w:r w:rsidRPr="00A74E00">
        <w:rPr>
          <w:rFonts w:ascii="Arial" w:hAnsi="Arial" w:cs="Arial"/>
          <w:sz w:val="22"/>
          <w:szCs w:val="22"/>
        </w:rPr>
        <w:t>support, and</w:t>
      </w:r>
      <w:proofErr w:type="gramEnd"/>
      <w:r w:rsidRPr="00A74E00">
        <w:rPr>
          <w:rFonts w:ascii="Arial" w:hAnsi="Arial" w:cs="Arial"/>
          <w:sz w:val="22"/>
          <w:szCs w:val="22"/>
        </w:rPr>
        <w:t xml:space="preserve"> may have more complex issues that require support over a longer period of time.</w:t>
      </w:r>
    </w:p>
    <w:p w14:paraId="3A030A24" w14:textId="77777777" w:rsidR="00CF24EC" w:rsidRPr="00A74E00" w:rsidRDefault="00CF24EC" w:rsidP="00CF24EC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Working strategically as bigger providers</w:t>
      </w:r>
    </w:p>
    <w:p w14:paraId="0C6C0661" w14:textId="77777777" w:rsidR="00ED20A1" w:rsidRPr="00A74E00" w:rsidRDefault="00ED20A1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Communities often trust the VCS more than health services.</w:t>
      </w:r>
    </w:p>
    <w:p w14:paraId="273D72BC" w14:textId="7F79CEDE" w:rsidR="00ED20A1" w:rsidRPr="00A74E00" w:rsidRDefault="00ED20A1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 xml:space="preserve">One key worker cannot do </w:t>
      </w:r>
      <w:proofErr w:type="gramStart"/>
      <w:r w:rsidRPr="00A74E00">
        <w:rPr>
          <w:rFonts w:ascii="Arial" w:hAnsi="Arial" w:cs="Arial"/>
          <w:sz w:val="22"/>
          <w:szCs w:val="22"/>
        </w:rPr>
        <w:t>everything ,</w:t>
      </w:r>
      <w:proofErr w:type="gramEnd"/>
      <w:r w:rsidRPr="00A74E00">
        <w:rPr>
          <w:rFonts w:ascii="Arial" w:hAnsi="Arial" w:cs="Arial"/>
          <w:sz w:val="22"/>
          <w:szCs w:val="22"/>
        </w:rPr>
        <w:t xml:space="preserve"> the role may be too broad.</w:t>
      </w:r>
    </w:p>
    <w:p w14:paraId="059EDFE1" w14:textId="40BF6E2E" w:rsidR="008D522D" w:rsidRPr="00A74E00" w:rsidRDefault="008D522D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The role of the voluntary and community sector (VCS) is vital – key workers</w:t>
      </w:r>
      <w:r w:rsidR="00ED20A1" w:rsidRPr="00A74E00">
        <w:rPr>
          <w:rFonts w:ascii="Arial" w:hAnsi="Arial" w:cs="Arial"/>
          <w:sz w:val="22"/>
          <w:szCs w:val="22"/>
        </w:rPr>
        <w:t xml:space="preserve"> </w:t>
      </w:r>
      <w:r w:rsidRPr="00A74E00">
        <w:rPr>
          <w:rFonts w:ascii="Arial" w:hAnsi="Arial" w:cs="Arial"/>
          <w:sz w:val="22"/>
          <w:szCs w:val="22"/>
        </w:rPr>
        <w:t xml:space="preserve">support </w:t>
      </w:r>
      <w:r w:rsidR="00ED20A1" w:rsidRPr="00A74E00">
        <w:rPr>
          <w:rFonts w:ascii="Arial" w:hAnsi="Arial" w:cs="Arial"/>
          <w:sz w:val="22"/>
          <w:szCs w:val="22"/>
        </w:rPr>
        <w:t xml:space="preserve">VCS organisations to </w:t>
      </w:r>
      <w:r w:rsidRPr="00A74E00">
        <w:rPr>
          <w:rFonts w:ascii="Arial" w:hAnsi="Arial" w:cs="Arial"/>
          <w:sz w:val="22"/>
          <w:szCs w:val="22"/>
        </w:rPr>
        <w:t xml:space="preserve">develop key </w:t>
      </w:r>
      <w:r w:rsidR="00ED20A1" w:rsidRPr="00A74E00">
        <w:rPr>
          <w:rFonts w:ascii="Arial" w:hAnsi="Arial" w:cs="Arial"/>
          <w:sz w:val="22"/>
          <w:szCs w:val="22"/>
        </w:rPr>
        <w:t>worker</w:t>
      </w:r>
      <w:r w:rsidRPr="00A74E00">
        <w:rPr>
          <w:rFonts w:ascii="Arial" w:hAnsi="Arial" w:cs="Arial"/>
          <w:sz w:val="22"/>
          <w:szCs w:val="22"/>
        </w:rPr>
        <w:t xml:space="preserve"> skills.</w:t>
      </w:r>
    </w:p>
    <w:p w14:paraId="7E020922" w14:textId="3E0F59EC" w:rsidR="008D522D" w:rsidRPr="00A74E00" w:rsidRDefault="008D522D" w:rsidP="00ED20A1">
      <w:pPr>
        <w:rPr>
          <w:rFonts w:ascii="Arial" w:hAnsi="Arial" w:cs="Arial"/>
          <w:b/>
          <w:bCs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By the end of the current funding cycle, it would be ideal to establish a VCSE Hub</w:t>
      </w:r>
      <w:r w:rsidR="00ED20A1" w:rsidRPr="00A74E00">
        <w:rPr>
          <w:rFonts w:ascii="Arial" w:hAnsi="Arial" w:cs="Arial"/>
          <w:sz w:val="22"/>
          <w:szCs w:val="22"/>
        </w:rPr>
        <w:t xml:space="preserve">, </w:t>
      </w:r>
      <w:r w:rsidRPr="00A74E00">
        <w:rPr>
          <w:rFonts w:ascii="Arial" w:hAnsi="Arial" w:cs="Arial"/>
          <w:sz w:val="22"/>
          <w:szCs w:val="22"/>
        </w:rPr>
        <w:t>a central point where everyone knows where to go.</w:t>
      </w:r>
    </w:p>
    <w:p w14:paraId="2F255906" w14:textId="77777777" w:rsidR="008D522D" w:rsidRPr="00A74E00" w:rsidRDefault="008D522D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Data sharing between health systems and the voluntary sector is challenging – although it was relaxed during COVID.</w:t>
      </w:r>
    </w:p>
    <w:p w14:paraId="46D4FA32" w14:textId="77777777" w:rsidR="008D522D" w:rsidRPr="00A74E00" w:rsidRDefault="008D522D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lastRenderedPageBreak/>
        <w:t>INTs have data sharing agreements – a trial is underway with Age UK referrals.</w:t>
      </w:r>
    </w:p>
    <w:p w14:paraId="2329642F" w14:textId="77777777" w:rsidR="008D522D" w:rsidRPr="00A74E00" w:rsidRDefault="008D522D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Focus on outcomes for individuals – resolving surrounding issues, not just the initial concern.</w:t>
      </w:r>
    </w:p>
    <w:p w14:paraId="69F11BE8" w14:textId="41DB6D90" w:rsidR="00ED20A1" w:rsidRPr="00A74E00" w:rsidRDefault="00ED20A1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 xml:space="preserve">With preventative work, it is often most successful with those who are mobile and not in crisis, the less urgent cases. </w:t>
      </w:r>
    </w:p>
    <w:p w14:paraId="05F52C8E" w14:textId="77777777" w:rsidR="008D522D" w:rsidRPr="00A74E00" w:rsidRDefault="008D522D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Building trust is key to uncovering the real issues.</w:t>
      </w:r>
    </w:p>
    <w:p w14:paraId="29BAF005" w14:textId="77777777" w:rsidR="008D522D" w:rsidRPr="00A74E00" w:rsidRDefault="008D522D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Measure both outcomes and impact.</w:t>
      </w:r>
    </w:p>
    <w:p w14:paraId="0396BEA5" w14:textId="6E29B932" w:rsidR="008D522D" w:rsidRPr="00A74E00" w:rsidRDefault="008D522D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Aim for lifestyle changes</w:t>
      </w:r>
      <w:r w:rsidR="00ED20A1" w:rsidRPr="00A74E00">
        <w:rPr>
          <w:rFonts w:ascii="Arial" w:hAnsi="Arial" w:cs="Arial"/>
          <w:sz w:val="22"/>
          <w:szCs w:val="22"/>
        </w:rPr>
        <w:t>,</w:t>
      </w:r>
      <w:r w:rsidRPr="00A74E00">
        <w:rPr>
          <w:rFonts w:ascii="Arial" w:hAnsi="Arial" w:cs="Arial"/>
          <w:sz w:val="22"/>
          <w:szCs w:val="22"/>
        </w:rPr>
        <w:t xml:space="preserve"> identify what makes the difference for each person and value that.</w:t>
      </w:r>
    </w:p>
    <w:p w14:paraId="491C76B7" w14:textId="77777777" w:rsidR="008D522D" w:rsidRPr="00A74E00" w:rsidRDefault="008D522D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Supporting someone to change long-standing habits is a skilled task.</w:t>
      </w:r>
    </w:p>
    <w:p w14:paraId="1817B7C3" w14:textId="39F6D862" w:rsidR="007F3180" w:rsidRPr="00A74E00" w:rsidRDefault="007F3180" w:rsidP="00ED20A1">
      <w:pPr>
        <w:rPr>
          <w:rFonts w:ascii="Arial" w:hAnsi="Arial" w:cs="Arial"/>
          <w:sz w:val="22"/>
          <w:szCs w:val="22"/>
        </w:rPr>
      </w:pPr>
      <w:r w:rsidRPr="00A74E00">
        <w:rPr>
          <w:rFonts w:ascii="Arial" w:hAnsi="Arial" w:cs="Arial"/>
          <w:sz w:val="22"/>
          <w:szCs w:val="22"/>
        </w:rPr>
        <w:t>Success might be seen as having enabled access to a service that will make them feel better.</w:t>
      </w:r>
    </w:p>
    <w:p w14:paraId="19A1CF69" w14:textId="77777777" w:rsidR="001947A7" w:rsidRPr="00A74E00" w:rsidRDefault="001947A7" w:rsidP="00ED20A1">
      <w:pPr>
        <w:rPr>
          <w:rFonts w:ascii="Arial" w:hAnsi="Arial" w:cs="Arial"/>
          <w:sz w:val="22"/>
          <w:szCs w:val="22"/>
        </w:rPr>
      </w:pPr>
    </w:p>
    <w:p w14:paraId="6154038B" w14:textId="77777777" w:rsidR="00004704" w:rsidRPr="00A74E00" w:rsidRDefault="00004704">
      <w:pPr>
        <w:rPr>
          <w:rFonts w:ascii="Arial" w:hAnsi="Arial" w:cs="Arial"/>
          <w:sz w:val="22"/>
          <w:szCs w:val="22"/>
        </w:rPr>
      </w:pPr>
    </w:p>
    <w:sectPr w:rsidR="00004704" w:rsidRPr="00A74E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C27C3B"/>
    <w:multiLevelType w:val="multilevel"/>
    <w:tmpl w:val="6B3C7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11748B7"/>
    <w:multiLevelType w:val="multilevel"/>
    <w:tmpl w:val="9C201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81104DF"/>
    <w:multiLevelType w:val="multilevel"/>
    <w:tmpl w:val="0BA2C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58D3C89"/>
    <w:multiLevelType w:val="multilevel"/>
    <w:tmpl w:val="34B448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4167172"/>
    <w:multiLevelType w:val="multilevel"/>
    <w:tmpl w:val="D3366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A6C6DE8"/>
    <w:multiLevelType w:val="multilevel"/>
    <w:tmpl w:val="39004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ADA0C0B"/>
    <w:multiLevelType w:val="multilevel"/>
    <w:tmpl w:val="510A6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BDF2B9E"/>
    <w:multiLevelType w:val="multilevel"/>
    <w:tmpl w:val="F73AFE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ECC55A7"/>
    <w:multiLevelType w:val="multilevel"/>
    <w:tmpl w:val="6F268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CFF27EF"/>
    <w:multiLevelType w:val="multilevel"/>
    <w:tmpl w:val="82ECFE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32E5F5B"/>
    <w:multiLevelType w:val="hybridMultilevel"/>
    <w:tmpl w:val="BB68FC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560992"/>
    <w:multiLevelType w:val="multilevel"/>
    <w:tmpl w:val="AD4A7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7D4518DE"/>
    <w:multiLevelType w:val="multilevel"/>
    <w:tmpl w:val="704CB2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507527703">
    <w:abstractNumId w:val="11"/>
  </w:num>
  <w:num w:numId="2" w16cid:durableId="2116555461">
    <w:abstractNumId w:val="6"/>
  </w:num>
  <w:num w:numId="3" w16cid:durableId="1116144810">
    <w:abstractNumId w:val="5"/>
  </w:num>
  <w:num w:numId="4" w16cid:durableId="1700398961">
    <w:abstractNumId w:val="2"/>
  </w:num>
  <w:num w:numId="5" w16cid:durableId="1430853013">
    <w:abstractNumId w:val="3"/>
  </w:num>
  <w:num w:numId="6" w16cid:durableId="554317972">
    <w:abstractNumId w:val="7"/>
  </w:num>
  <w:num w:numId="7" w16cid:durableId="120462744">
    <w:abstractNumId w:val="9"/>
  </w:num>
  <w:num w:numId="8" w16cid:durableId="330722237">
    <w:abstractNumId w:val="0"/>
  </w:num>
  <w:num w:numId="9" w16cid:durableId="665934319">
    <w:abstractNumId w:val="1"/>
  </w:num>
  <w:num w:numId="10" w16cid:durableId="1813907874">
    <w:abstractNumId w:val="12"/>
  </w:num>
  <w:num w:numId="11" w16cid:durableId="827282855">
    <w:abstractNumId w:val="4"/>
  </w:num>
  <w:num w:numId="12" w16cid:durableId="1732271538">
    <w:abstractNumId w:val="8"/>
  </w:num>
  <w:num w:numId="13" w16cid:durableId="105199819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522D"/>
    <w:rsid w:val="00004704"/>
    <w:rsid w:val="000260EF"/>
    <w:rsid w:val="000E058D"/>
    <w:rsid w:val="001947A7"/>
    <w:rsid w:val="00211984"/>
    <w:rsid w:val="002915E0"/>
    <w:rsid w:val="002D1574"/>
    <w:rsid w:val="00336E69"/>
    <w:rsid w:val="003E6A12"/>
    <w:rsid w:val="0040423A"/>
    <w:rsid w:val="0044315C"/>
    <w:rsid w:val="00471E16"/>
    <w:rsid w:val="004A3F92"/>
    <w:rsid w:val="00595401"/>
    <w:rsid w:val="006F0AEF"/>
    <w:rsid w:val="0078081E"/>
    <w:rsid w:val="007F3180"/>
    <w:rsid w:val="0084128A"/>
    <w:rsid w:val="008651C1"/>
    <w:rsid w:val="008D522D"/>
    <w:rsid w:val="00A34265"/>
    <w:rsid w:val="00A74E00"/>
    <w:rsid w:val="00BF76E3"/>
    <w:rsid w:val="00C604D7"/>
    <w:rsid w:val="00CF24EC"/>
    <w:rsid w:val="00DE3E44"/>
    <w:rsid w:val="00DF6553"/>
    <w:rsid w:val="00E23857"/>
    <w:rsid w:val="00ED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545F1D27"/>
  <w15:chartTrackingRefBased/>
  <w15:docId w15:val="{9092E008-B1BE-4670-A13D-F248B68D3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52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52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D522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D522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D522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D522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D522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D522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D522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522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522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522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522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522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D522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D522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D522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D522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D522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522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D522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D522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D522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D522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D522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D522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D522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D522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D522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19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4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725</Words>
  <Characters>4135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Henry, Holly</dc:creator>
  <cp:keywords/>
  <dc:description/>
  <cp:lastModifiedBy>Drew, Katie</cp:lastModifiedBy>
  <cp:revision>22</cp:revision>
  <dcterms:created xsi:type="dcterms:W3CDTF">2025-09-08T14:14:00Z</dcterms:created>
  <dcterms:modified xsi:type="dcterms:W3CDTF">2025-09-29T11:57:00Z</dcterms:modified>
</cp:coreProperties>
</file>